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497EC" w14:textId="77777777" w:rsidR="002B743A" w:rsidRDefault="002B743A">
      <w:pPr>
        <w:pStyle w:val="Maintext"/>
        <w:spacing w:line="280" w:lineRule="exact"/>
        <w:rPr>
          <w:sz w:val="22"/>
        </w:rPr>
      </w:pPr>
      <w:bookmarkStart w:id="0" w:name="_GoBack"/>
      <w:bookmarkEnd w:id="0"/>
    </w:p>
    <w:p w14:paraId="03751161" w14:textId="77777777" w:rsidR="002B743A" w:rsidRDefault="002B743A">
      <w:pPr>
        <w:pStyle w:val="Maintext"/>
        <w:spacing w:line="280" w:lineRule="exact"/>
        <w:rPr>
          <w:sz w:val="22"/>
        </w:rPr>
      </w:pPr>
    </w:p>
    <w:p w14:paraId="3D286525" w14:textId="77777777" w:rsidR="002B743A" w:rsidRPr="00BD1B58" w:rsidRDefault="00F67B91" w:rsidP="00C943BD">
      <w:pPr>
        <w:pStyle w:val="Maintext"/>
        <w:spacing w:line="240" w:lineRule="auto"/>
        <w:rPr>
          <w:b/>
          <w:bCs/>
          <w:sz w:val="48"/>
          <w:szCs w:val="48"/>
        </w:rPr>
      </w:pPr>
      <w:r>
        <w:rPr>
          <w:b/>
          <w:bCs/>
          <w:sz w:val="48"/>
          <w:szCs w:val="48"/>
        </w:rPr>
        <w:t>ADR Entity Reporting - Annual Report</w:t>
      </w:r>
    </w:p>
    <w:p w14:paraId="51BD0B0A" w14:textId="77777777" w:rsidR="00C943BD" w:rsidRPr="00BD1B58" w:rsidRDefault="00C943BD" w:rsidP="00C943BD">
      <w:pPr>
        <w:pStyle w:val="Maintext"/>
        <w:spacing w:line="240" w:lineRule="auto"/>
        <w:rPr>
          <w:sz w:val="22"/>
          <w:szCs w:val="22"/>
        </w:rPr>
      </w:pPr>
    </w:p>
    <w:p w14:paraId="5C5D6D3A" w14:textId="24FAEBF6" w:rsidR="00C943BD" w:rsidRPr="00BD1B58" w:rsidRDefault="00F67B91" w:rsidP="00C943BD">
      <w:pPr>
        <w:pStyle w:val="Maintext"/>
        <w:spacing w:line="240" w:lineRule="auto"/>
        <w:rPr>
          <w:sz w:val="28"/>
          <w:szCs w:val="28"/>
        </w:rPr>
      </w:pPr>
      <w:r>
        <w:rPr>
          <w:sz w:val="28"/>
          <w:szCs w:val="28"/>
        </w:rPr>
        <w:t>Reporting period 1 October 201</w:t>
      </w:r>
      <w:r w:rsidR="00A96AFD">
        <w:rPr>
          <w:sz w:val="28"/>
          <w:szCs w:val="28"/>
        </w:rPr>
        <w:t>7</w:t>
      </w:r>
      <w:r>
        <w:rPr>
          <w:sz w:val="28"/>
          <w:szCs w:val="28"/>
        </w:rPr>
        <w:t xml:space="preserve"> – 30 September 201</w:t>
      </w:r>
      <w:r w:rsidR="00A96AFD">
        <w:rPr>
          <w:sz w:val="28"/>
          <w:szCs w:val="28"/>
        </w:rPr>
        <w:t>8</w:t>
      </w:r>
    </w:p>
    <w:p w14:paraId="073427CF" w14:textId="77777777" w:rsidR="002B743A" w:rsidRDefault="002B743A">
      <w:pPr>
        <w:pStyle w:val="Maintext"/>
        <w:spacing w:line="280" w:lineRule="exact"/>
        <w:rPr>
          <w:sz w:val="22"/>
        </w:rPr>
      </w:pPr>
    </w:p>
    <w:p w14:paraId="76E7EC97" w14:textId="371B35E3" w:rsidR="00C943BD" w:rsidRPr="00BD1B58" w:rsidRDefault="003351A9">
      <w:pPr>
        <w:pStyle w:val="Maintext"/>
        <w:spacing w:line="280" w:lineRule="exact"/>
        <w:rPr>
          <w:sz w:val="22"/>
          <w:szCs w:val="22"/>
        </w:rPr>
      </w:pPr>
      <w:r>
        <w:rPr>
          <w:sz w:val="22"/>
          <w:szCs w:val="22"/>
        </w:rPr>
        <w:t>ProMediate (UK) Limited</w:t>
      </w:r>
    </w:p>
    <w:p w14:paraId="3A6C4621" w14:textId="77777777" w:rsidR="00C943BD" w:rsidRDefault="00C943BD" w:rsidP="00C943BD">
      <w:pPr>
        <w:pStyle w:val="Maintext"/>
        <w:spacing w:line="280" w:lineRule="exact"/>
        <w:rPr>
          <w:sz w:val="22"/>
        </w:rPr>
      </w:pPr>
    </w:p>
    <w:p w14:paraId="14A8323D" w14:textId="77777777" w:rsidR="00F67B91" w:rsidRPr="00F67B91" w:rsidRDefault="00F67B91" w:rsidP="00F67B91">
      <w:pPr>
        <w:pStyle w:val="Maintext"/>
        <w:spacing w:line="280" w:lineRule="exact"/>
        <w:rPr>
          <w:sz w:val="22"/>
        </w:rPr>
      </w:pPr>
      <w:r w:rsidRPr="00F67B91">
        <w:rPr>
          <w:sz w:val="22"/>
        </w:rPr>
        <w:t>.</w:t>
      </w:r>
    </w:p>
    <w:tbl>
      <w:tblPr>
        <w:tblStyle w:val="TableGrid"/>
        <w:tblW w:w="9180" w:type="dxa"/>
        <w:tblLook w:val="04A0" w:firstRow="1" w:lastRow="0" w:firstColumn="1" w:lastColumn="0" w:noHBand="0" w:noVBand="1"/>
      </w:tblPr>
      <w:tblGrid>
        <w:gridCol w:w="4928"/>
        <w:gridCol w:w="4252"/>
      </w:tblGrid>
      <w:tr w:rsidR="007C4A2F" w:rsidRPr="00F67B91" w14:paraId="46637E52" w14:textId="77777777" w:rsidTr="007C4A2F">
        <w:tc>
          <w:tcPr>
            <w:tcW w:w="4928" w:type="dxa"/>
          </w:tcPr>
          <w:p w14:paraId="139BFDE4" w14:textId="77777777" w:rsidR="007C4A2F" w:rsidRPr="00F67B91" w:rsidRDefault="007C4A2F" w:rsidP="00F67B91">
            <w:pPr>
              <w:pStyle w:val="Maintext"/>
              <w:spacing w:line="280" w:lineRule="exact"/>
              <w:rPr>
                <w:b/>
                <w:sz w:val="22"/>
              </w:rPr>
            </w:pPr>
            <w:r w:rsidRPr="00F67B91">
              <w:rPr>
                <w:b/>
                <w:sz w:val="22"/>
              </w:rPr>
              <w:t>Information as specified in regulations</w:t>
            </w:r>
          </w:p>
        </w:tc>
        <w:tc>
          <w:tcPr>
            <w:tcW w:w="4252" w:type="dxa"/>
          </w:tcPr>
          <w:p w14:paraId="6267E25A" w14:textId="77777777" w:rsidR="007C4A2F" w:rsidRPr="00F67B91" w:rsidRDefault="007C4A2F" w:rsidP="007C4A2F">
            <w:pPr>
              <w:pStyle w:val="Maintext"/>
              <w:spacing w:line="280" w:lineRule="exact"/>
              <w:rPr>
                <w:b/>
                <w:sz w:val="22"/>
              </w:rPr>
            </w:pPr>
            <w:r>
              <w:rPr>
                <w:b/>
                <w:sz w:val="22"/>
              </w:rPr>
              <w:t>Basic guidance</w:t>
            </w:r>
          </w:p>
        </w:tc>
      </w:tr>
      <w:tr w:rsidR="007C4A2F" w:rsidRPr="00F67B91" w14:paraId="71CE1BA8" w14:textId="77777777" w:rsidTr="007C4A2F">
        <w:tc>
          <w:tcPr>
            <w:tcW w:w="4928" w:type="dxa"/>
          </w:tcPr>
          <w:p w14:paraId="71F1F1A5" w14:textId="77777777" w:rsidR="007C4A2F" w:rsidRPr="00F67B91" w:rsidRDefault="007C4A2F" w:rsidP="00F67B91">
            <w:pPr>
              <w:pStyle w:val="Maintext"/>
              <w:numPr>
                <w:ilvl w:val="0"/>
                <w:numId w:val="1"/>
              </w:numPr>
              <w:rPr>
                <w:sz w:val="22"/>
              </w:rPr>
            </w:pPr>
            <w:r w:rsidRPr="00F67B91">
              <w:rPr>
                <w:sz w:val="22"/>
              </w:rPr>
              <w:t>the number of domestic disputes and cross-border disputes the ADR entity has received;</w:t>
            </w:r>
          </w:p>
        </w:tc>
        <w:tc>
          <w:tcPr>
            <w:tcW w:w="4252" w:type="dxa"/>
          </w:tcPr>
          <w:p w14:paraId="69D02952" w14:textId="0821EBF5" w:rsidR="007C4A2F" w:rsidRPr="00F67B91" w:rsidRDefault="003A7E22" w:rsidP="006719AB">
            <w:pPr>
              <w:pStyle w:val="Maintext"/>
              <w:spacing w:line="280" w:lineRule="exact"/>
              <w:rPr>
                <w:sz w:val="22"/>
              </w:rPr>
            </w:pPr>
            <w:r>
              <w:rPr>
                <w:sz w:val="22"/>
              </w:rPr>
              <w:t>16</w:t>
            </w:r>
          </w:p>
        </w:tc>
      </w:tr>
      <w:tr w:rsidR="007C4A2F" w:rsidRPr="00F67B91" w14:paraId="745BC23F" w14:textId="77777777" w:rsidTr="007C4A2F">
        <w:tc>
          <w:tcPr>
            <w:tcW w:w="4928" w:type="dxa"/>
          </w:tcPr>
          <w:p w14:paraId="0B07F951" w14:textId="77777777" w:rsidR="007C4A2F" w:rsidRPr="00F67B91" w:rsidRDefault="007C4A2F" w:rsidP="00F67B91">
            <w:pPr>
              <w:pStyle w:val="Maintext"/>
              <w:numPr>
                <w:ilvl w:val="0"/>
                <w:numId w:val="1"/>
              </w:numPr>
              <w:rPr>
                <w:sz w:val="22"/>
              </w:rPr>
            </w:pPr>
            <w:r w:rsidRPr="00F67B91">
              <w:rPr>
                <w:sz w:val="22"/>
              </w:rPr>
              <w:t>the types of complaints to which the domestic disputes and cross-border disputes relate;</w:t>
            </w:r>
          </w:p>
        </w:tc>
        <w:tc>
          <w:tcPr>
            <w:tcW w:w="4252" w:type="dxa"/>
          </w:tcPr>
          <w:p w14:paraId="243066B6" w14:textId="77777777" w:rsidR="007C4A2F" w:rsidRDefault="00207C38" w:rsidP="00F67B91">
            <w:pPr>
              <w:pStyle w:val="Maintext"/>
              <w:spacing w:line="280" w:lineRule="exact"/>
              <w:rPr>
                <w:sz w:val="22"/>
              </w:rPr>
            </w:pPr>
            <w:r>
              <w:rPr>
                <w:sz w:val="22"/>
              </w:rPr>
              <w:t>5 account closure following syndication in breach of terms</w:t>
            </w:r>
          </w:p>
          <w:p w14:paraId="3BCC441C" w14:textId="77777777" w:rsidR="00207C38" w:rsidRDefault="00207C38" w:rsidP="00F67B91">
            <w:pPr>
              <w:pStyle w:val="Maintext"/>
              <w:spacing w:line="280" w:lineRule="exact"/>
              <w:rPr>
                <w:sz w:val="22"/>
              </w:rPr>
            </w:pPr>
            <w:r>
              <w:rPr>
                <w:sz w:val="22"/>
              </w:rPr>
              <w:t>2 verification of identity closure of account</w:t>
            </w:r>
          </w:p>
          <w:p w14:paraId="000A3CF2" w14:textId="42247E1A" w:rsidR="00207C38" w:rsidRDefault="0009480D" w:rsidP="00F67B91">
            <w:pPr>
              <w:pStyle w:val="Maintext"/>
              <w:spacing w:line="280" w:lineRule="exact"/>
              <w:rPr>
                <w:sz w:val="22"/>
              </w:rPr>
            </w:pPr>
            <w:r>
              <w:rPr>
                <w:sz w:val="22"/>
              </w:rPr>
              <w:t>2 unauthorised access to account</w:t>
            </w:r>
            <w:r w:rsidR="00AE425C">
              <w:rPr>
                <w:sz w:val="22"/>
              </w:rPr>
              <w:t xml:space="preserve"> alleged.</w:t>
            </w:r>
          </w:p>
          <w:p w14:paraId="393BC120" w14:textId="77777777" w:rsidR="0009480D" w:rsidRDefault="0009480D" w:rsidP="00F67B91">
            <w:pPr>
              <w:pStyle w:val="Maintext"/>
              <w:spacing w:line="280" w:lineRule="exact"/>
              <w:rPr>
                <w:sz w:val="22"/>
              </w:rPr>
            </w:pPr>
            <w:r>
              <w:rPr>
                <w:sz w:val="22"/>
              </w:rPr>
              <w:t>2 self exclusion</w:t>
            </w:r>
          </w:p>
          <w:p w14:paraId="14F06040" w14:textId="77777777" w:rsidR="0009480D" w:rsidRDefault="00755CA8" w:rsidP="00F67B91">
            <w:pPr>
              <w:pStyle w:val="Maintext"/>
              <w:spacing w:line="280" w:lineRule="exact"/>
              <w:rPr>
                <w:sz w:val="22"/>
              </w:rPr>
            </w:pPr>
            <w:r>
              <w:rPr>
                <w:sz w:val="22"/>
              </w:rPr>
              <w:t xml:space="preserve">1 use of relative's bank card to deposit </w:t>
            </w:r>
            <w:r w:rsidR="00F77BC5">
              <w:rPr>
                <w:sz w:val="22"/>
              </w:rPr>
              <w:t>funds when no mandate</w:t>
            </w:r>
          </w:p>
          <w:p w14:paraId="4BF44083" w14:textId="3AF11393" w:rsidR="00F77BC5" w:rsidRPr="00F67B91" w:rsidRDefault="004C460D" w:rsidP="00F67B91">
            <w:pPr>
              <w:pStyle w:val="Maintext"/>
              <w:spacing w:line="280" w:lineRule="exact"/>
              <w:rPr>
                <w:sz w:val="22"/>
              </w:rPr>
            </w:pPr>
            <w:r>
              <w:rPr>
                <w:sz w:val="22"/>
              </w:rPr>
              <w:t xml:space="preserve">4 entitlement to </w:t>
            </w:r>
            <w:r w:rsidR="00AE425C">
              <w:rPr>
                <w:sz w:val="22"/>
              </w:rPr>
              <w:t xml:space="preserve">withdraw winnings and/or deposit and </w:t>
            </w:r>
            <w:r w:rsidR="008B25E5">
              <w:rPr>
                <w:sz w:val="22"/>
              </w:rPr>
              <w:t xml:space="preserve">promotions </w:t>
            </w:r>
          </w:p>
        </w:tc>
      </w:tr>
      <w:tr w:rsidR="007C4A2F" w:rsidRPr="00F67B91" w14:paraId="16333726" w14:textId="77777777" w:rsidTr="007C4A2F">
        <w:tc>
          <w:tcPr>
            <w:tcW w:w="4928" w:type="dxa"/>
          </w:tcPr>
          <w:p w14:paraId="7F37D0DC" w14:textId="77777777" w:rsidR="007C4A2F" w:rsidRPr="00F67B91" w:rsidRDefault="007C4A2F" w:rsidP="00F67B91">
            <w:pPr>
              <w:pStyle w:val="Maintext"/>
              <w:numPr>
                <w:ilvl w:val="0"/>
                <w:numId w:val="1"/>
              </w:numPr>
              <w:rPr>
                <w:sz w:val="22"/>
              </w:rPr>
            </w:pPr>
            <w:r w:rsidRPr="00F67B91">
              <w:rPr>
                <w:sz w:val="22"/>
              </w:rPr>
              <w:t>a description of any systematic or significant problems that occur frequently and lead to disputes between consumers and traders of which the ADR entity has become aware due to its operations as an ADR entity;</w:t>
            </w:r>
          </w:p>
        </w:tc>
        <w:tc>
          <w:tcPr>
            <w:tcW w:w="4252" w:type="dxa"/>
          </w:tcPr>
          <w:p w14:paraId="1B54905E" w14:textId="5A959033" w:rsidR="007C4A2F" w:rsidRPr="00F67B91" w:rsidRDefault="008B25E5" w:rsidP="00F67B91">
            <w:pPr>
              <w:pStyle w:val="Maintext"/>
              <w:spacing w:line="280" w:lineRule="exact"/>
              <w:rPr>
                <w:sz w:val="22"/>
              </w:rPr>
            </w:pPr>
            <w:r>
              <w:rPr>
                <w:sz w:val="22"/>
              </w:rPr>
              <w:t xml:space="preserve">We are ADR provider to remote operators. </w:t>
            </w:r>
            <w:r w:rsidR="007465BE">
              <w:rPr>
                <w:sz w:val="22"/>
              </w:rPr>
              <w:t>The majority of complaints concern</w:t>
            </w:r>
            <w:r w:rsidR="00766627">
              <w:rPr>
                <w:sz w:val="22"/>
              </w:rPr>
              <w:t xml:space="preserve"> the return of deposits or payment of winnings </w:t>
            </w:r>
            <w:r w:rsidR="005860EC">
              <w:rPr>
                <w:sz w:val="22"/>
              </w:rPr>
              <w:t xml:space="preserve">from winnings </w:t>
            </w:r>
            <w:r w:rsidR="00DF24DB">
              <w:rPr>
                <w:sz w:val="22"/>
              </w:rPr>
              <w:t xml:space="preserve">following a breach of verification checks or </w:t>
            </w:r>
            <w:r w:rsidR="00AA1F00">
              <w:rPr>
                <w:sz w:val="22"/>
              </w:rPr>
              <w:t xml:space="preserve">syndication </w:t>
            </w:r>
            <w:r w:rsidR="005860EC">
              <w:rPr>
                <w:sz w:val="22"/>
              </w:rPr>
              <w:t xml:space="preserve">breaches of terms and conditions or terms of promotions. This should be assisted by the CMA </w:t>
            </w:r>
            <w:r w:rsidR="00B1209E">
              <w:rPr>
                <w:sz w:val="22"/>
              </w:rPr>
              <w:t>report regarding unfair practices.</w:t>
            </w:r>
          </w:p>
        </w:tc>
      </w:tr>
      <w:tr w:rsidR="007C4A2F" w:rsidRPr="00F67B91" w14:paraId="63852B9D" w14:textId="77777777" w:rsidTr="007C4A2F">
        <w:tc>
          <w:tcPr>
            <w:tcW w:w="4928" w:type="dxa"/>
          </w:tcPr>
          <w:p w14:paraId="45D76DD8" w14:textId="77777777" w:rsidR="007C4A2F" w:rsidRPr="00F67B91" w:rsidRDefault="007C4A2F" w:rsidP="00F67B91">
            <w:pPr>
              <w:pStyle w:val="Maintext"/>
              <w:numPr>
                <w:ilvl w:val="0"/>
                <w:numId w:val="1"/>
              </w:numPr>
              <w:rPr>
                <w:sz w:val="22"/>
              </w:rPr>
            </w:pPr>
            <w:r w:rsidRPr="00F67B91">
              <w:rPr>
                <w:sz w:val="22"/>
              </w:rPr>
              <w:t>any recommendations the ADR entity may have as to how the problems referred to in paragraph (c) could be avoided or resolved in future, in order to raise traders’ standards and to facilitate the exchange of information and best practices;</w:t>
            </w:r>
          </w:p>
        </w:tc>
        <w:tc>
          <w:tcPr>
            <w:tcW w:w="4252" w:type="dxa"/>
          </w:tcPr>
          <w:p w14:paraId="749DC46B" w14:textId="26D587B1" w:rsidR="007C4A2F" w:rsidRPr="00F67B91" w:rsidRDefault="000242F4" w:rsidP="00F67B91">
            <w:pPr>
              <w:pStyle w:val="Maintext"/>
              <w:spacing w:line="280" w:lineRule="exact"/>
              <w:rPr>
                <w:sz w:val="22"/>
              </w:rPr>
            </w:pPr>
            <w:r>
              <w:rPr>
                <w:sz w:val="22"/>
              </w:rPr>
              <w:t xml:space="preserve">Verification checks could be completed </w:t>
            </w:r>
            <w:r w:rsidR="004203B3">
              <w:rPr>
                <w:sz w:val="22"/>
              </w:rPr>
              <w:t>before deposits paid. Bonus payments</w:t>
            </w:r>
            <w:r w:rsidR="00F834F6">
              <w:rPr>
                <w:sz w:val="22"/>
              </w:rPr>
              <w:t xml:space="preserve"> or winnings</w:t>
            </w:r>
            <w:r w:rsidR="004203B3">
              <w:rPr>
                <w:sz w:val="22"/>
              </w:rPr>
              <w:t xml:space="preserve"> should </w:t>
            </w:r>
            <w:r w:rsidR="00856B04">
              <w:rPr>
                <w:sz w:val="22"/>
              </w:rPr>
              <w:t>not necessarily be dependent on wagering a deposit.</w:t>
            </w:r>
          </w:p>
        </w:tc>
      </w:tr>
      <w:tr w:rsidR="007C4A2F" w:rsidRPr="00F67B91" w14:paraId="6DC26BA3" w14:textId="77777777" w:rsidTr="007C4A2F">
        <w:tc>
          <w:tcPr>
            <w:tcW w:w="4928" w:type="dxa"/>
          </w:tcPr>
          <w:p w14:paraId="06E711DC" w14:textId="77777777" w:rsidR="007C4A2F" w:rsidRPr="00F67B91" w:rsidRDefault="007C4A2F" w:rsidP="00F67B91">
            <w:pPr>
              <w:pStyle w:val="Maintext"/>
              <w:numPr>
                <w:ilvl w:val="0"/>
                <w:numId w:val="1"/>
              </w:numPr>
              <w:rPr>
                <w:sz w:val="22"/>
              </w:rPr>
            </w:pPr>
            <w:r w:rsidRPr="00F67B91">
              <w:rPr>
                <w:sz w:val="22"/>
              </w:rPr>
              <w:t xml:space="preserve">the number of disputes which the ADR entity has refused to deal with, and percentage share of the grounds set out in paragraph 13 </w:t>
            </w:r>
            <w:r w:rsidRPr="00F67B91">
              <w:rPr>
                <w:sz w:val="22"/>
              </w:rPr>
              <w:lastRenderedPageBreak/>
              <w:t>of Schedule 3 on which the ADR entity has declined to consider such disputes;</w:t>
            </w:r>
          </w:p>
        </w:tc>
        <w:tc>
          <w:tcPr>
            <w:tcW w:w="4252" w:type="dxa"/>
          </w:tcPr>
          <w:p w14:paraId="69A4E702" w14:textId="5053482D" w:rsidR="007C4A2F" w:rsidRPr="00F67B91" w:rsidRDefault="00F834F6" w:rsidP="006E0677">
            <w:pPr>
              <w:pStyle w:val="Maintext"/>
              <w:rPr>
                <w:sz w:val="22"/>
              </w:rPr>
            </w:pPr>
            <w:r>
              <w:rPr>
                <w:sz w:val="22"/>
              </w:rPr>
              <w:lastRenderedPageBreak/>
              <w:t>We have not refused to deal with any disputes.</w:t>
            </w:r>
          </w:p>
          <w:p w14:paraId="4F6AFF6E" w14:textId="134BC321" w:rsidR="00940513" w:rsidRDefault="007C4A2F" w:rsidP="00F67B91">
            <w:pPr>
              <w:pStyle w:val="Maintext"/>
              <w:numPr>
                <w:ilvl w:val="0"/>
                <w:numId w:val="2"/>
              </w:numPr>
              <w:rPr>
                <w:sz w:val="22"/>
              </w:rPr>
            </w:pPr>
            <w:r w:rsidRPr="00F67B91">
              <w:rPr>
                <w:sz w:val="22"/>
              </w:rPr>
              <w:lastRenderedPageBreak/>
              <w:t>Percentage split between the</w:t>
            </w:r>
            <w:r w:rsidR="00D51202">
              <w:rPr>
                <w:sz w:val="22"/>
              </w:rPr>
              <w:t xml:space="preserve"> 6 categories of grounds for refusal in para 13 Schedule 3</w:t>
            </w:r>
            <w:r w:rsidR="00696486">
              <w:rPr>
                <w:sz w:val="22"/>
              </w:rPr>
              <w:t xml:space="preserve"> </w:t>
            </w:r>
            <w:r w:rsidR="00F6598F">
              <w:rPr>
                <w:sz w:val="22"/>
              </w:rPr>
              <w:t>-</w:t>
            </w:r>
            <w:r w:rsidR="00696486">
              <w:rPr>
                <w:sz w:val="22"/>
              </w:rPr>
              <w:t>0%</w:t>
            </w:r>
          </w:p>
          <w:p w14:paraId="0129019C" w14:textId="77777777" w:rsidR="006E1F82" w:rsidRDefault="00940513" w:rsidP="00940513">
            <w:pPr>
              <w:pStyle w:val="Maintext"/>
              <w:numPr>
                <w:ilvl w:val="0"/>
                <w:numId w:val="2"/>
              </w:numPr>
              <w:rPr>
                <w:sz w:val="22"/>
              </w:rPr>
            </w:pPr>
            <w:r w:rsidRPr="00940513">
              <w:rPr>
                <w:sz w:val="22"/>
              </w:rPr>
              <w:t>Percentage not within ADR entity remit because of</w:t>
            </w:r>
          </w:p>
          <w:p w14:paraId="325FA32F" w14:textId="1D2F6C48" w:rsidR="00940513" w:rsidRDefault="00940513" w:rsidP="006E1F82">
            <w:pPr>
              <w:pStyle w:val="Maintext"/>
              <w:numPr>
                <w:ilvl w:val="0"/>
                <w:numId w:val="5"/>
              </w:numPr>
              <w:rPr>
                <w:sz w:val="22"/>
              </w:rPr>
            </w:pPr>
            <w:r w:rsidRPr="00940513">
              <w:rPr>
                <w:sz w:val="22"/>
              </w:rPr>
              <w:t>Gambling Commission regulatory issue</w:t>
            </w:r>
          </w:p>
          <w:p w14:paraId="0D3EEE8A" w14:textId="66E9705B" w:rsidR="007C4A2F" w:rsidRPr="00940513" w:rsidRDefault="00940513" w:rsidP="00940513">
            <w:pPr>
              <w:pStyle w:val="Maintext"/>
              <w:numPr>
                <w:ilvl w:val="0"/>
                <w:numId w:val="5"/>
              </w:numPr>
              <w:rPr>
                <w:sz w:val="22"/>
              </w:rPr>
            </w:pPr>
            <w:r w:rsidRPr="00940513">
              <w:rPr>
                <w:sz w:val="22"/>
              </w:rPr>
              <w:t>Not the relevant gambling sector</w:t>
            </w:r>
          </w:p>
          <w:p w14:paraId="54E0FFE6" w14:textId="77777777" w:rsidR="00940513" w:rsidRDefault="00940513" w:rsidP="00940513">
            <w:pPr>
              <w:pStyle w:val="Maintext"/>
              <w:numPr>
                <w:ilvl w:val="0"/>
                <w:numId w:val="5"/>
              </w:numPr>
              <w:rPr>
                <w:sz w:val="22"/>
              </w:rPr>
            </w:pPr>
            <w:r>
              <w:rPr>
                <w:sz w:val="22"/>
              </w:rPr>
              <w:t>Other</w:t>
            </w:r>
          </w:p>
          <w:p w14:paraId="763F1981" w14:textId="40667AC3" w:rsidR="000B2F95" w:rsidRPr="00F67B91" w:rsidRDefault="00522FD0" w:rsidP="00711509">
            <w:pPr>
              <w:pStyle w:val="Maintext"/>
              <w:numPr>
                <w:ilvl w:val="0"/>
                <w:numId w:val="2"/>
              </w:numPr>
              <w:rPr>
                <w:sz w:val="22"/>
              </w:rPr>
            </w:pPr>
            <w:r>
              <w:rPr>
                <w:sz w:val="22"/>
              </w:rPr>
              <w:t xml:space="preserve">cases discontinued for </w:t>
            </w:r>
            <w:r w:rsidR="00251610">
              <w:rPr>
                <w:sz w:val="22"/>
              </w:rPr>
              <w:t>non-operational reasons 0%</w:t>
            </w:r>
          </w:p>
        </w:tc>
      </w:tr>
      <w:tr w:rsidR="007C4A2F" w:rsidRPr="00F67B91" w14:paraId="50D1D237" w14:textId="77777777" w:rsidTr="007C4A2F">
        <w:tc>
          <w:tcPr>
            <w:tcW w:w="4928" w:type="dxa"/>
          </w:tcPr>
          <w:p w14:paraId="56A83D21" w14:textId="4251CB66" w:rsidR="007C4A2F" w:rsidRPr="00F67B91" w:rsidRDefault="007C4A2F" w:rsidP="00F67B91">
            <w:pPr>
              <w:pStyle w:val="Maintext"/>
              <w:numPr>
                <w:ilvl w:val="0"/>
                <w:numId w:val="1"/>
              </w:numPr>
              <w:rPr>
                <w:sz w:val="22"/>
              </w:rPr>
            </w:pPr>
            <w:r w:rsidRPr="00F67B91">
              <w:rPr>
                <w:sz w:val="22"/>
              </w:rPr>
              <w:lastRenderedPageBreak/>
              <w:t>the percentage of alternative dispute resolution procedures which were discontinued for operational reasons and, if known, the reasons for the discontinuation;</w:t>
            </w:r>
          </w:p>
        </w:tc>
        <w:tc>
          <w:tcPr>
            <w:tcW w:w="4252" w:type="dxa"/>
          </w:tcPr>
          <w:p w14:paraId="0F3E1101" w14:textId="3955A3E8" w:rsidR="007C4A2F" w:rsidRPr="00F67B91" w:rsidRDefault="007C4A2F" w:rsidP="00F67B91">
            <w:pPr>
              <w:pStyle w:val="Maintext"/>
              <w:numPr>
                <w:ilvl w:val="0"/>
                <w:numId w:val="3"/>
              </w:numPr>
              <w:rPr>
                <w:sz w:val="22"/>
              </w:rPr>
            </w:pPr>
            <w:r>
              <w:rPr>
                <w:sz w:val="22"/>
              </w:rPr>
              <w:t>n/a</w:t>
            </w:r>
          </w:p>
          <w:p w14:paraId="5B1F0A0F" w14:textId="3FB06FE3" w:rsidR="007C4A2F" w:rsidRPr="00F67B91" w:rsidRDefault="007C4A2F" w:rsidP="00F67B91">
            <w:pPr>
              <w:pStyle w:val="Maintext"/>
              <w:numPr>
                <w:ilvl w:val="0"/>
                <w:numId w:val="3"/>
              </w:numPr>
              <w:rPr>
                <w:sz w:val="22"/>
              </w:rPr>
            </w:pPr>
            <w:r w:rsidRPr="00F67B91">
              <w:rPr>
                <w:sz w:val="22"/>
              </w:rPr>
              <w:t>n/a</w:t>
            </w:r>
          </w:p>
        </w:tc>
      </w:tr>
      <w:tr w:rsidR="007C4A2F" w:rsidRPr="00F67B91" w14:paraId="0BCD9218" w14:textId="77777777" w:rsidTr="007C4A2F">
        <w:tc>
          <w:tcPr>
            <w:tcW w:w="4928" w:type="dxa"/>
          </w:tcPr>
          <w:p w14:paraId="1C7A6FFC" w14:textId="77777777" w:rsidR="007C4A2F" w:rsidRPr="00F67B91" w:rsidRDefault="007C4A2F" w:rsidP="00F67B91">
            <w:pPr>
              <w:pStyle w:val="Maintext"/>
              <w:numPr>
                <w:ilvl w:val="0"/>
                <w:numId w:val="1"/>
              </w:numPr>
              <w:rPr>
                <w:sz w:val="22"/>
              </w:rPr>
            </w:pPr>
            <w:r w:rsidRPr="00F67B91">
              <w:rPr>
                <w:sz w:val="22"/>
              </w:rPr>
              <w:t>the average time taken to resolve domestic disputes and cross-border disputes;</w:t>
            </w:r>
          </w:p>
        </w:tc>
        <w:tc>
          <w:tcPr>
            <w:tcW w:w="4252" w:type="dxa"/>
          </w:tcPr>
          <w:p w14:paraId="2026CE85" w14:textId="12A7B44C" w:rsidR="007C4A2F" w:rsidRPr="00F67B91" w:rsidRDefault="007C4A2F" w:rsidP="007C22DB">
            <w:pPr>
              <w:pStyle w:val="Maintext"/>
              <w:spacing w:line="280" w:lineRule="exact"/>
              <w:rPr>
                <w:sz w:val="22"/>
              </w:rPr>
            </w:pPr>
            <w:r>
              <w:rPr>
                <w:sz w:val="22"/>
              </w:rPr>
              <w:t>Average time in days</w:t>
            </w:r>
            <w:r w:rsidRPr="00F67B91">
              <w:rPr>
                <w:sz w:val="22"/>
              </w:rPr>
              <w:t xml:space="preserve"> –</w:t>
            </w:r>
            <w:r>
              <w:rPr>
                <w:sz w:val="22"/>
              </w:rPr>
              <w:t xml:space="preserve"> averag</w:t>
            </w:r>
            <w:r w:rsidR="007B383C">
              <w:rPr>
                <w:sz w:val="22"/>
              </w:rPr>
              <w:t>e 1</w:t>
            </w:r>
            <w:r w:rsidR="0096556E">
              <w:rPr>
                <w:sz w:val="22"/>
              </w:rPr>
              <w:t xml:space="preserve">2 </w:t>
            </w:r>
            <w:r w:rsidR="007B383C">
              <w:rPr>
                <w:sz w:val="22"/>
              </w:rPr>
              <w:t>days</w:t>
            </w:r>
            <w:r w:rsidR="0096556E">
              <w:rPr>
                <w:sz w:val="22"/>
              </w:rPr>
              <w:t xml:space="preserve"> from notification </w:t>
            </w:r>
            <w:r w:rsidR="00A13E48">
              <w:rPr>
                <w:sz w:val="22"/>
              </w:rPr>
              <w:t>– domestic only.</w:t>
            </w:r>
          </w:p>
        </w:tc>
      </w:tr>
      <w:tr w:rsidR="007C4A2F" w:rsidRPr="00F67B91" w14:paraId="69BCAC19" w14:textId="77777777" w:rsidTr="007C4A2F">
        <w:tc>
          <w:tcPr>
            <w:tcW w:w="4928" w:type="dxa"/>
          </w:tcPr>
          <w:p w14:paraId="686A6B06" w14:textId="77777777" w:rsidR="007C4A2F" w:rsidRPr="00F67B91" w:rsidRDefault="007C4A2F" w:rsidP="00F67B91">
            <w:pPr>
              <w:pStyle w:val="Maintext"/>
              <w:numPr>
                <w:ilvl w:val="0"/>
                <w:numId w:val="1"/>
              </w:numPr>
              <w:rPr>
                <w:sz w:val="22"/>
              </w:rPr>
            </w:pPr>
            <w:r w:rsidRPr="00F67B91">
              <w:rPr>
                <w:sz w:val="22"/>
              </w:rPr>
              <w:t>the rate of compliance, if known, with the outcomes of the alternative dispute resolution procedures;</w:t>
            </w:r>
          </w:p>
        </w:tc>
        <w:tc>
          <w:tcPr>
            <w:tcW w:w="4252" w:type="dxa"/>
          </w:tcPr>
          <w:p w14:paraId="5CBA21BC" w14:textId="46BC82CD" w:rsidR="007C4A2F" w:rsidRDefault="0096556E" w:rsidP="00F67B91">
            <w:pPr>
              <w:pStyle w:val="Maintext"/>
              <w:spacing w:line="280" w:lineRule="exact"/>
              <w:rPr>
                <w:sz w:val="22"/>
              </w:rPr>
            </w:pPr>
            <w:r>
              <w:rPr>
                <w:sz w:val="22"/>
              </w:rPr>
              <w:t xml:space="preserve">100% </w:t>
            </w:r>
          </w:p>
          <w:p w14:paraId="48F2DF58" w14:textId="2CFBC1BF" w:rsidR="00A13E48" w:rsidRPr="00F67B91" w:rsidRDefault="00A13E48" w:rsidP="00F67B91">
            <w:pPr>
              <w:pStyle w:val="Maintext"/>
              <w:spacing w:line="280" w:lineRule="exact"/>
              <w:rPr>
                <w:sz w:val="22"/>
              </w:rPr>
            </w:pPr>
            <w:r>
              <w:rPr>
                <w:sz w:val="22"/>
              </w:rPr>
              <w:t>Customers would complain further if deposits not returned.</w:t>
            </w:r>
          </w:p>
          <w:p w14:paraId="6BAD12F2" w14:textId="5E670D2F" w:rsidR="007C4A2F" w:rsidRPr="00F67B91" w:rsidRDefault="007C4A2F" w:rsidP="00F67B91">
            <w:pPr>
              <w:pStyle w:val="Maintext"/>
              <w:spacing w:line="280" w:lineRule="exact"/>
              <w:rPr>
                <w:sz w:val="22"/>
              </w:rPr>
            </w:pPr>
          </w:p>
        </w:tc>
      </w:tr>
      <w:tr w:rsidR="007C4A2F" w:rsidRPr="00F67B91" w14:paraId="478EE005" w14:textId="77777777" w:rsidTr="007C4A2F">
        <w:tc>
          <w:tcPr>
            <w:tcW w:w="4928" w:type="dxa"/>
          </w:tcPr>
          <w:p w14:paraId="0623215D" w14:textId="77777777" w:rsidR="007C4A2F" w:rsidRPr="00F67B91" w:rsidRDefault="007C4A2F" w:rsidP="00F67B91">
            <w:pPr>
              <w:pStyle w:val="Maintext"/>
              <w:numPr>
                <w:ilvl w:val="0"/>
                <w:numId w:val="1"/>
              </w:numPr>
              <w:rPr>
                <w:sz w:val="22"/>
              </w:rPr>
            </w:pPr>
            <w:r w:rsidRPr="00F67B91">
              <w:rPr>
                <w:sz w:val="22"/>
              </w:rPr>
              <w:t>the co-operation, if any, of the ADR entity within any network of ADR entities which facilitates the resolution of cross-border disputes.</w:t>
            </w:r>
          </w:p>
        </w:tc>
        <w:tc>
          <w:tcPr>
            <w:tcW w:w="4252" w:type="dxa"/>
          </w:tcPr>
          <w:p w14:paraId="0CC39DF1" w14:textId="591E3ABE" w:rsidR="00244D5F" w:rsidRPr="00F67B91" w:rsidRDefault="006E0677" w:rsidP="00F67B91">
            <w:pPr>
              <w:pStyle w:val="Maintext"/>
              <w:spacing w:line="280" w:lineRule="exact"/>
              <w:rPr>
                <w:sz w:val="22"/>
              </w:rPr>
            </w:pPr>
            <w:r>
              <w:rPr>
                <w:sz w:val="22"/>
              </w:rPr>
              <w:t>N</w:t>
            </w:r>
            <w:r w:rsidR="007C4A2F">
              <w:rPr>
                <w:sz w:val="22"/>
              </w:rPr>
              <w:t>/a</w:t>
            </w:r>
          </w:p>
        </w:tc>
      </w:tr>
    </w:tbl>
    <w:p w14:paraId="4F3505DE" w14:textId="77777777" w:rsidR="00C943BD" w:rsidRDefault="00C943BD" w:rsidP="00C943BD">
      <w:pPr>
        <w:pStyle w:val="Maintext"/>
        <w:spacing w:line="280" w:lineRule="exact"/>
        <w:rPr>
          <w:sz w:val="22"/>
        </w:rPr>
      </w:pPr>
    </w:p>
    <w:p w14:paraId="402EFEA0" w14:textId="4FD0E4B4" w:rsidR="002B743A" w:rsidRDefault="00D751E9">
      <w:pPr>
        <w:pStyle w:val="Maintext"/>
        <w:spacing w:line="280" w:lineRule="exact"/>
        <w:rPr>
          <w:sz w:val="22"/>
        </w:rPr>
      </w:pPr>
      <w:r>
        <w:rPr>
          <w:sz w:val="22"/>
        </w:rPr>
        <w:t xml:space="preserve">In addition, we request the following information, </w:t>
      </w:r>
      <w:r w:rsidR="006003E8">
        <w:rPr>
          <w:sz w:val="22"/>
        </w:rPr>
        <w:t xml:space="preserve">which is </w:t>
      </w:r>
      <w:r>
        <w:rPr>
          <w:sz w:val="22"/>
        </w:rPr>
        <w:t>not included in the ADR Regulations:</w:t>
      </w:r>
    </w:p>
    <w:p w14:paraId="14F09990" w14:textId="77777777" w:rsidR="00D751E9" w:rsidRDefault="00D751E9">
      <w:pPr>
        <w:pStyle w:val="Maintext"/>
        <w:spacing w:line="280" w:lineRule="exact"/>
        <w:rPr>
          <w:sz w:val="22"/>
        </w:rPr>
      </w:pPr>
    </w:p>
    <w:tbl>
      <w:tblPr>
        <w:tblStyle w:val="TableGrid"/>
        <w:tblW w:w="0" w:type="auto"/>
        <w:tblLook w:val="04A0" w:firstRow="1" w:lastRow="0" w:firstColumn="1" w:lastColumn="0" w:noHBand="0" w:noVBand="1"/>
      </w:tblPr>
      <w:tblGrid>
        <w:gridCol w:w="4583"/>
        <w:gridCol w:w="4584"/>
      </w:tblGrid>
      <w:tr w:rsidR="00D751E9" w14:paraId="5B3CD3BD" w14:textId="77777777" w:rsidTr="00D751E9">
        <w:tc>
          <w:tcPr>
            <w:tcW w:w="4583" w:type="dxa"/>
          </w:tcPr>
          <w:p w14:paraId="48C6DDE6" w14:textId="5D65CFE2" w:rsidR="00D751E9" w:rsidRDefault="00D751E9" w:rsidP="006003E8">
            <w:pPr>
              <w:pStyle w:val="Maintext"/>
              <w:numPr>
                <w:ilvl w:val="0"/>
                <w:numId w:val="1"/>
              </w:numPr>
              <w:spacing w:line="280" w:lineRule="exact"/>
              <w:rPr>
                <w:sz w:val="22"/>
              </w:rPr>
            </w:pPr>
            <w:r>
              <w:rPr>
                <w:sz w:val="22"/>
              </w:rPr>
              <w:t>% of completed disputes ruled in favour of the operator</w:t>
            </w:r>
          </w:p>
        </w:tc>
        <w:tc>
          <w:tcPr>
            <w:tcW w:w="4584" w:type="dxa"/>
          </w:tcPr>
          <w:p w14:paraId="103BA530" w14:textId="04FD9949" w:rsidR="00D751E9" w:rsidRDefault="00756648">
            <w:pPr>
              <w:pStyle w:val="Maintext"/>
              <w:spacing w:line="280" w:lineRule="exact"/>
              <w:rPr>
                <w:sz w:val="22"/>
              </w:rPr>
            </w:pPr>
            <w:r>
              <w:rPr>
                <w:sz w:val="22"/>
              </w:rPr>
              <w:t>P</w:t>
            </w:r>
            <w:r w:rsidR="00500609">
              <w:rPr>
                <w:sz w:val="22"/>
              </w:rPr>
              <w:t>ercentage</w:t>
            </w:r>
            <w:r w:rsidR="00592033">
              <w:rPr>
                <w:sz w:val="22"/>
              </w:rPr>
              <w:t xml:space="preserve"> </w:t>
            </w:r>
            <w:r w:rsidR="00380FCE">
              <w:rPr>
                <w:sz w:val="22"/>
              </w:rPr>
              <w:t>75%</w:t>
            </w:r>
            <w:r w:rsidR="00D02D4B">
              <w:rPr>
                <w:sz w:val="22"/>
              </w:rPr>
              <w:t xml:space="preserve"> (Not a ruling- recommendation followed)</w:t>
            </w:r>
          </w:p>
        </w:tc>
      </w:tr>
      <w:tr w:rsidR="00D751E9" w14:paraId="0DB5234B" w14:textId="77777777" w:rsidTr="00D751E9">
        <w:tc>
          <w:tcPr>
            <w:tcW w:w="4583" w:type="dxa"/>
          </w:tcPr>
          <w:p w14:paraId="4793E76E" w14:textId="14B0CB16" w:rsidR="00D751E9" w:rsidRDefault="00D751E9" w:rsidP="006003E8">
            <w:pPr>
              <w:pStyle w:val="Maintext"/>
              <w:numPr>
                <w:ilvl w:val="0"/>
                <w:numId w:val="1"/>
              </w:numPr>
              <w:spacing w:line="280" w:lineRule="exact"/>
              <w:rPr>
                <w:sz w:val="22"/>
              </w:rPr>
            </w:pPr>
            <w:r>
              <w:rPr>
                <w:sz w:val="22"/>
              </w:rPr>
              <w:t>% of completed disputes ruled in favour of the consumer</w:t>
            </w:r>
          </w:p>
        </w:tc>
        <w:tc>
          <w:tcPr>
            <w:tcW w:w="4584" w:type="dxa"/>
          </w:tcPr>
          <w:p w14:paraId="102244C6" w14:textId="45A78436" w:rsidR="00D751E9" w:rsidRDefault="00500609">
            <w:pPr>
              <w:pStyle w:val="Maintext"/>
              <w:spacing w:line="280" w:lineRule="exact"/>
              <w:rPr>
                <w:sz w:val="22"/>
              </w:rPr>
            </w:pPr>
            <w:r>
              <w:rPr>
                <w:sz w:val="22"/>
              </w:rPr>
              <w:t>Percentage</w:t>
            </w:r>
            <w:r w:rsidR="00380FCE">
              <w:rPr>
                <w:sz w:val="22"/>
              </w:rPr>
              <w:t xml:space="preserve"> 25%</w:t>
            </w:r>
            <w:r w:rsidR="00D02D4B">
              <w:rPr>
                <w:sz w:val="22"/>
              </w:rPr>
              <w:t xml:space="preserve"> (Not a ruling -recommendation followed)</w:t>
            </w:r>
          </w:p>
        </w:tc>
      </w:tr>
      <w:tr w:rsidR="00D751E9" w14:paraId="2BCA47B2" w14:textId="77777777" w:rsidTr="00D751E9">
        <w:tc>
          <w:tcPr>
            <w:tcW w:w="4583" w:type="dxa"/>
          </w:tcPr>
          <w:p w14:paraId="7917B308" w14:textId="0D8729E4" w:rsidR="00D751E9" w:rsidRDefault="006003E8" w:rsidP="00500609">
            <w:pPr>
              <w:pStyle w:val="Maintext"/>
              <w:numPr>
                <w:ilvl w:val="0"/>
                <w:numId w:val="1"/>
              </w:numPr>
              <w:spacing w:line="280" w:lineRule="exact"/>
              <w:rPr>
                <w:sz w:val="22"/>
              </w:rPr>
            </w:pPr>
            <w:r>
              <w:rPr>
                <w:sz w:val="22"/>
              </w:rPr>
              <w:t xml:space="preserve">% of completed disputes settled by the operator during the ADR body investigation  </w:t>
            </w:r>
          </w:p>
        </w:tc>
        <w:tc>
          <w:tcPr>
            <w:tcW w:w="4584" w:type="dxa"/>
          </w:tcPr>
          <w:p w14:paraId="1D3C425A" w14:textId="4FB27209" w:rsidR="00D751E9" w:rsidRDefault="00500609" w:rsidP="00500609">
            <w:pPr>
              <w:pStyle w:val="Maintext"/>
              <w:spacing w:line="280" w:lineRule="exact"/>
              <w:rPr>
                <w:sz w:val="22"/>
              </w:rPr>
            </w:pPr>
            <w:r>
              <w:rPr>
                <w:sz w:val="22"/>
              </w:rPr>
              <w:t xml:space="preserve">The percentage of cases where no formal ruling has been made because the operator and consumer have agreed to settle during the ADR </w:t>
            </w:r>
            <w:r w:rsidR="00380FCE">
              <w:rPr>
                <w:sz w:val="22"/>
              </w:rPr>
              <w:t xml:space="preserve">process. </w:t>
            </w:r>
            <w:r w:rsidR="00D02D4B">
              <w:rPr>
                <w:sz w:val="22"/>
              </w:rPr>
              <w:t>0%</w:t>
            </w:r>
          </w:p>
        </w:tc>
      </w:tr>
    </w:tbl>
    <w:p w14:paraId="6D3FF3F0" w14:textId="77777777" w:rsidR="00D751E9" w:rsidRDefault="00D751E9">
      <w:pPr>
        <w:pStyle w:val="Maintext"/>
        <w:spacing w:line="280" w:lineRule="exact"/>
        <w:rPr>
          <w:sz w:val="22"/>
        </w:rPr>
      </w:pPr>
    </w:p>
    <w:p w14:paraId="1CDED063" w14:textId="77777777" w:rsidR="00D751E9" w:rsidRDefault="00D751E9">
      <w:pPr>
        <w:pStyle w:val="Maintext"/>
        <w:spacing w:line="280" w:lineRule="exact"/>
        <w:rPr>
          <w:sz w:val="22"/>
        </w:rPr>
      </w:pPr>
    </w:p>
    <w:p w14:paraId="6512946D" w14:textId="77777777" w:rsidR="00D751E9" w:rsidRDefault="00D751E9">
      <w:pPr>
        <w:pStyle w:val="Maintext"/>
        <w:spacing w:line="280" w:lineRule="exact"/>
        <w:rPr>
          <w:sz w:val="22"/>
        </w:rPr>
        <w:sectPr w:rsidR="00D751E9">
          <w:headerReference w:type="default" r:id="rId13"/>
          <w:footerReference w:type="default" r:id="rId14"/>
          <w:headerReference w:type="first" r:id="rId15"/>
          <w:footerReference w:type="first" r:id="rId16"/>
          <w:type w:val="continuous"/>
          <w:pgSz w:w="11899" w:h="16838"/>
          <w:pgMar w:top="2798" w:right="1361" w:bottom="2268" w:left="1361" w:header="964" w:footer="680" w:gutter="0"/>
          <w:cols w:space="708"/>
          <w:titlePg/>
        </w:sectPr>
      </w:pPr>
    </w:p>
    <w:p w14:paraId="65EB05F5" w14:textId="77777777" w:rsidR="00A71DBB" w:rsidRPr="00A71DBB" w:rsidRDefault="007C4A2F">
      <w:pPr>
        <w:pStyle w:val="Maintext"/>
        <w:spacing w:line="280" w:lineRule="exact"/>
        <w:rPr>
          <w:sz w:val="22"/>
        </w:rPr>
      </w:pPr>
      <w:r w:rsidRPr="00A71DBB">
        <w:rPr>
          <w:sz w:val="22"/>
        </w:rPr>
        <w:t>As competent authority for the gambling sector, we w</w:t>
      </w:r>
      <w:r w:rsidR="00A71DBB" w:rsidRPr="00A71DBB">
        <w:rPr>
          <w:sz w:val="22"/>
        </w:rPr>
        <w:t>ant to ensure that information provided in the annual reports is collated, presented and published in as consistent a manner as possible.</w:t>
      </w:r>
    </w:p>
    <w:p w14:paraId="04506CF0" w14:textId="58398E80" w:rsidR="00A71DBB" w:rsidRDefault="00A71DBB">
      <w:pPr>
        <w:pStyle w:val="Maintext"/>
        <w:spacing w:line="280" w:lineRule="exact"/>
        <w:rPr>
          <w:sz w:val="22"/>
        </w:rPr>
      </w:pPr>
      <w:r w:rsidRPr="00A71DBB">
        <w:rPr>
          <w:sz w:val="22"/>
        </w:rPr>
        <w:t xml:space="preserve">Please </w:t>
      </w:r>
      <w:r w:rsidRPr="00A71DBB">
        <w:rPr>
          <w:b/>
          <w:bCs/>
          <w:sz w:val="22"/>
          <w:szCs w:val="22"/>
        </w:rPr>
        <w:t xml:space="preserve">submit the information in your report to </w:t>
      </w:r>
      <w:r w:rsidR="00756648">
        <w:rPr>
          <w:b/>
          <w:bCs/>
          <w:sz w:val="22"/>
          <w:szCs w:val="22"/>
        </w:rPr>
        <w:t xml:space="preserve">James Cook at </w:t>
      </w:r>
      <w:hyperlink r:id="rId17" w:history="1">
        <w:r w:rsidR="00756648" w:rsidRPr="00A64A22">
          <w:rPr>
            <w:rStyle w:val="Hyperlink"/>
            <w:b/>
            <w:bCs/>
            <w:sz w:val="22"/>
            <w:szCs w:val="22"/>
          </w:rPr>
          <w:t>JCook@gamblingcommission.gov.uk</w:t>
        </w:r>
      </w:hyperlink>
      <w:r w:rsidR="00756648">
        <w:rPr>
          <w:b/>
          <w:bCs/>
          <w:sz w:val="22"/>
          <w:szCs w:val="22"/>
        </w:rPr>
        <w:t xml:space="preserve">, copying in </w:t>
      </w:r>
      <w:hyperlink r:id="rId18" w:history="1">
        <w:r w:rsidR="00756648" w:rsidRPr="00A64A22">
          <w:rPr>
            <w:rStyle w:val="Hyperlink"/>
            <w:b/>
            <w:bCs/>
            <w:sz w:val="22"/>
            <w:szCs w:val="22"/>
          </w:rPr>
          <w:t>LCooke@gamblingcommission.gov.uk</w:t>
        </w:r>
      </w:hyperlink>
      <w:r w:rsidR="00756648">
        <w:rPr>
          <w:b/>
          <w:bCs/>
          <w:sz w:val="22"/>
          <w:szCs w:val="22"/>
        </w:rPr>
        <w:t xml:space="preserve"> </w:t>
      </w:r>
      <w:r w:rsidRPr="00A71DBB">
        <w:rPr>
          <w:b/>
          <w:bCs/>
          <w:sz w:val="22"/>
          <w:szCs w:val="22"/>
        </w:rPr>
        <w:t>before you publish your report</w:t>
      </w:r>
      <w:r w:rsidRPr="00A71DBB">
        <w:rPr>
          <w:sz w:val="22"/>
        </w:rPr>
        <w:t>, so that we can review for consistency.</w:t>
      </w:r>
    </w:p>
    <w:p w14:paraId="6E5B9FD6" w14:textId="77777777" w:rsidR="005C46F7" w:rsidRPr="00A71DBB" w:rsidRDefault="005C46F7">
      <w:pPr>
        <w:pStyle w:val="Maintext"/>
        <w:spacing w:line="280" w:lineRule="exact"/>
        <w:rPr>
          <w:sz w:val="22"/>
        </w:rPr>
      </w:pPr>
    </w:p>
    <w:p w14:paraId="03E51E59" w14:textId="56CC3BCF" w:rsidR="00D751E9" w:rsidRDefault="00A71DBB">
      <w:pPr>
        <w:pStyle w:val="Maintext"/>
        <w:spacing w:line="280" w:lineRule="exact"/>
        <w:rPr>
          <w:sz w:val="22"/>
        </w:rPr>
      </w:pPr>
      <w:r w:rsidRPr="00A71DBB">
        <w:rPr>
          <w:b/>
          <w:bCs/>
          <w:sz w:val="22"/>
          <w:szCs w:val="22"/>
        </w:rPr>
        <w:t>We will agree with you the most appropriate date for submission to us</w:t>
      </w:r>
      <w:r w:rsidRPr="00A71DBB">
        <w:rPr>
          <w:sz w:val="22"/>
        </w:rPr>
        <w:t>, to make sure you can publish by 1 November.</w:t>
      </w:r>
    </w:p>
    <w:p w14:paraId="0A0B0F4A" w14:textId="77777777" w:rsidR="006E65FC" w:rsidRDefault="006E65FC">
      <w:pPr>
        <w:pStyle w:val="Maintext"/>
        <w:spacing w:line="280" w:lineRule="exact"/>
        <w:rPr>
          <w:sz w:val="22"/>
        </w:rPr>
      </w:pPr>
    </w:p>
    <w:p w14:paraId="655642D4" w14:textId="77777777" w:rsidR="006E65FC" w:rsidRPr="00A71DBB" w:rsidRDefault="006E65FC">
      <w:pPr>
        <w:pStyle w:val="Maintext"/>
        <w:spacing w:line="280" w:lineRule="exact"/>
        <w:rPr>
          <w:sz w:val="22"/>
        </w:rPr>
      </w:pPr>
    </w:p>
    <w:sectPr w:rsidR="006E65FC" w:rsidRPr="00A71DBB" w:rsidSect="00C943BD">
      <w:headerReference w:type="first" r:id="rId19"/>
      <w:footerReference w:type="first" r:id="rId20"/>
      <w:type w:val="continuous"/>
      <w:pgSz w:w="11899" w:h="16838"/>
      <w:pgMar w:top="1701" w:right="1361" w:bottom="1701" w:left="1361" w:header="964"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1F77F" w14:textId="77777777" w:rsidR="00F34837" w:rsidRDefault="00F34837">
      <w:r>
        <w:separator/>
      </w:r>
    </w:p>
  </w:endnote>
  <w:endnote w:type="continuationSeparator" w:id="0">
    <w:p w14:paraId="6578EC0B" w14:textId="77777777" w:rsidR="00F34837" w:rsidRDefault="00F3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36DE7" w14:textId="77777777" w:rsidR="00607634" w:rsidRPr="00C943BD" w:rsidRDefault="00607634" w:rsidP="00C943BD">
    <w:pPr>
      <w:pStyle w:val="Footer"/>
      <w:jc w:val="both"/>
      <w:rPr>
        <w:rFonts w:ascii="Arial" w:hAnsi="Arial" w:cs="Arial"/>
        <w:i/>
        <w:iCs/>
        <w:sz w:val="18"/>
        <w:szCs w:val="18"/>
      </w:rPr>
    </w:pPr>
    <w:r w:rsidRPr="00C943BD">
      <w:rPr>
        <w:rFonts w:ascii="Arial" w:hAnsi="Arial" w:cs="Arial"/>
        <w:i/>
        <w:iCs/>
        <w:sz w:val="18"/>
        <w:szCs w:val="18"/>
      </w:rPr>
      <w:fldChar w:fldCharType="begin"/>
    </w:r>
    <w:r w:rsidRPr="00C943BD">
      <w:rPr>
        <w:rFonts w:ascii="Arial" w:hAnsi="Arial" w:cs="Arial"/>
        <w:i/>
        <w:iCs/>
        <w:sz w:val="18"/>
        <w:szCs w:val="18"/>
      </w:rPr>
      <w:instrText xml:space="preserve"> PAGE </w:instrText>
    </w:r>
    <w:r w:rsidRPr="00C943BD">
      <w:rPr>
        <w:rFonts w:ascii="Arial" w:hAnsi="Arial" w:cs="Arial"/>
        <w:i/>
        <w:iCs/>
        <w:sz w:val="18"/>
        <w:szCs w:val="18"/>
      </w:rPr>
      <w:fldChar w:fldCharType="separate"/>
    </w:r>
    <w:r w:rsidR="00756648">
      <w:rPr>
        <w:rFonts w:ascii="Arial" w:hAnsi="Arial" w:cs="Arial"/>
        <w:i/>
        <w:iCs/>
        <w:noProof/>
        <w:sz w:val="18"/>
        <w:szCs w:val="18"/>
      </w:rPr>
      <w:t>2</w:t>
    </w:r>
    <w:r w:rsidRPr="00C943BD">
      <w:rPr>
        <w:rFonts w:ascii="Arial" w:hAnsi="Arial" w:cs="Arial"/>
        <w:i/>
        <w:i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870" w:type="dxa"/>
      <w:tblInd w:w="4644" w:type="dxa"/>
      <w:tblLayout w:type="fixed"/>
      <w:tblLook w:val="0000" w:firstRow="0" w:lastRow="0" w:firstColumn="0" w:lastColumn="0" w:noHBand="0" w:noVBand="0"/>
    </w:tblPr>
    <w:tblGrid>
      <w:gridCol w:w="2215"/>
      <w:gridCol w:w="2655"/>
    </w:tblGrid>
    <w:tr w:rsidR="00607634" w14:paraId="32E471CD" w14:textId="77777777">
      <w:tc>
        <w:tcPr>
          <w:tcW w:w="2215" w:type="dxa"/>
        </w:tcPr>
        <w:p w14:paraId="7C6A46DF" w14:textId="77777777" w:rsidR="00607634" w:rsidRDefault="00607634">
          <w:pPr>
            <w:pStyle w:val="Footer"/>
            <w:spacing w:line="220" w:lineRule="exact"/>
            <w:rPr>
              <w:rFonts w:ascii="Arial" w:hAnsi="Arial"/>
              <w:sz w:val="18"/>
            </w:rPr>
          </w:pPr>
          <w:r>
            <w:rPr>
              <w:rFonts w:ascii="Arial" w:hAnsi="Arial"/>
              <w:sz w:val="18"/>
            </w:rPr>
            <w:t>Victoria Square House</w:t>
          </w:r>
        </w:p>
        <w:p w14:paraId="142DC330" w14:textId="77777777" w:rsidR="00607634" w:rsidRDefault="00607634">
          <w:pPr>
            <w:pStyle w:val="Footer"/>
            <w:spacing w:line="220" w:lineRule="exact"/>
            <w:rPr>
              <w:rFonts w:ascii="Arial" w:hAnsi="Arial"/>
              <w:sz w:val="18"/>
            </w:rPr>
          </w:pPr>
          <w:r>
            <w:rPr>
              <w:rFonts w:ascii="Arial" w:hAnsi="Arial"/>
              <w:sz w:val="18"/>
            </w:rPr>
            <w:t>Victoria Square</w:t>
          </w:r>
        </w:p>
        <w:p w14:paraId="3AA5CAC0" w14:textId="77777777" w:rsidR="00607634" w:rsidRDefault="00607634">
          <w:pPr>
            <w:pStyle w:val="Footer"/>
            <w:spacing w:line="220" w:lineRule="exact"/>
            <w:rPr>
              <w:rFonts w:ascii="Arial" w:hAnsi="Arial"/>
              <w:sz w:val="18"/>
            </w:rPr>
          </w:pPr>
          <w:r>
            <w:rPr>
              <w:rFonts w:ascii="Arial" w:hAnsi="Arial"/>
              <w:sz w:val="18"/>
            </w:rPr>
            <w:t>Birmingham B2 4BP</w:t>
          </w:r>
        </w:p>
      </w:tc>
      <w:tc>
        <w:tcPr>
          <w:tcW w:w="2655" w:type="dxa"/>
        </w:tcPr>
        <w:p w14:paraId="055FF814" w14:textId="77777777" w:rsidR="00607634" w:rsidRDefault="00607634">
          <w:pPr>
            <w:pStyle w:val="Footer"/>
            <w:spacing w:line="220" w:lineRule="exact"/>
            <w:rPr>
              <w:rFonts w:ascii="Arial" w:hAnsi="Arial"/>
              <w:sz w:val="18"/>
            </w:rPr>
          </w:pPr>
          <w:r>
            <w:rPr>
              <w:rFonts w:ascii="Arial" w:hAnsi="Arial"/>
              <w:b/>
              <w:sz w:val="18"/>
            </w:rPr>
            <w:t>T</w:t>
          </w:r>
          <w:r>
            <w:rPr>
              <w:rFonts w:ascii="Arial" w:hAnsi="Arial"/>
              <w:sz w:val="18"/>
            </w:rPr>
            <w:t xml:space="preserve">  0121 230 6500</w:t>
          </w:r>
        </w:p>
        <w:p w14:paraId="4DBCBFF4" w14:textId="77777777" w:rsidR="00607634" w:rsidRDefault="00607634">
          <w:pPr>
            <w:pStyle w:val="Footer"/>
            <w:spacing w:line="220" w:lineRule="exact"/>
            <w:rPr>
              <w:rFonts w:ascii="Arial" w:hAnsi="Arial"/>
              <w:sz w:val="18"/>
            </w:rPr>
          </w:pPr>
          <w:r>
            <w:rPr>
              <w:rFonts w:ascii="Arial" w:hAnsi="Arial"/>
              <w:b/>
              <w:sz w:val="18"/>
            </w:rPr>
            <w:t>F</w:t>
          </w:r>
          <w:r>
            <w:rPr>
              <w:rFonts w:ascii="Arial" w:hAnsi="Arial"/>
              <w:sz w:val="18"/>
            </w:rPr>
            <w:t xml:space="preserve">  0121 230 6720</w:t>
          </w:r>
        </w:p>
        <w:p w14:paraId="5D1CBF51" w14:textId="77777777" w:rsidR="00607634" w:rsidRDefault="00607634">
          <w:pPr>
            <w:pStyle w:val="Footer"/>
            <w:spacing w:line="220" w:lineRule="exact"/>
            <w:rPr>
              <w:rFonts w:ascii="Arial" w:hAnsi="Arial"/>
              <w:sz w:val="16"/>
            </w:rPr>
          </w:pPr>
          <w:r>
            <w:rPr>
              <w:rFonts w:ascii="Arial" w:hAnsi="Arial"/>
              <w:sz w:val="16"/>
            </w:rPr>
            <w:t>www.gamblingcommission.gov.uk</w:t>
          </w:r>
        </w:p>
      </w:tc>
    </w:tr>
  </w:tbl>
  <w:p w14:paraId="00EE841E" w14:textId="77777777" w:rsidR="00607634" w:rsidRDefault="006076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3F848" w14:textId="77777777" w:rsidR="00607634" w:rsidRDefault="00607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0AB07" w14:textId="77777777" w:rsidR="00F34837" w:rsidRDefault="00F34837">
      <w:r>
        <w:separator/>
      </w:r>
    </w:p>
  </w:footnote>
  <w:footnote w:type="continuationSeparator" w:id="0">
    <w:p w14:paraId="1DE98610" w14:textId="77777777" w:rsidR="00F34837" w:rsidRDefault="00F3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FC56B" w14:textId="25EA09FC" w:rsidR="00607634" w:rsidRPr="00C943BD" w:rsidRDefault="004F77AB">
    <w:pPr>
      <w:pStyle w:val="Header"/>
      <w:rPr>
        <w:rFonts w:ascii="Arial" w:hAnsi="Arial" w:cs="Arial"/>
        <w:i/>
        <w:iCs/>
        <w:sz w:val="18"/>
        <w:szCs w:val="18"/>
      </w:rPr>
    </w:pPr>
    <w:r>
      <w:rPr>
        <w:rFonts w:ascii="Arial" w:hAnsi="Arial" w:cs="Arial"/>
        <w:i/>
        <w:iCs/>
        <w:sz w:val="18"/>
        <w:szCs w:val="18"/>
      </w:rPr>
      <w:t>ADR Entity Reporting – Annual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F1ACC" w14:textId="77777777" w:rsidR="00607634" w:rsidRDefault="00607634">
    <w:pPr>
      <w:pStyle w:val="Header"/>
      <w:jc w:val="right"/>
    </w:pPr>
    <w:r>
      <w:rPr>
        <w:noProof/>
        <w:lang w:eastAsia="en-GB"/>
      </w:rPr>
      <w:drawing>
        <wp:inline distT="0" distB="0" distL="0" distR="0" wp14:anchorId="0F937357" wp14:editId="26BC99D0">
          <wp:extent cx="2865120" cy="769620"/>
          <wp:effectExtent l="19050" t="0" r="0" b="0"/>
          <wp:docPr id="1" name="Picture 1" descr="GC_Logo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_Logo_B&amp;W"/>
                  <pic:cNvPicPr>
                    <a:picLocks noChangeAspect="1" noChangeArrowheads="1"/>
                  </pic:cNvPicPr>
                </pic:nvPicPr>
                <pic:blipFill>
                  <a:blip r:embed="rId1"/>
                  <a:srcRect/>
                  <a:stretch>
                    <a:fillRect/>
                  </a:stretch>
                </pic:blipFill>
                <pic:spPr bwMode="auto">
                  <a:xfrm>
                    <a:off x="0" y="0"/>
                    <a:ext cx="2865120" cy="76962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58C60" w14:textId="77777777" w:rsidR="00607634" w:rsidRDefault="00607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717EC"/>
    <w:multiLevelType w:val="hybridMultilevel"/>
    <w:tmpl w:val="29FC1132"/>
    <w:lvl w:ilvl="0" w:tplc="25908A38">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24E3F"/>
    <w:multiLevelType w:val="hybridMultilevel"/>
    <w:tmpl w:val="35543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BB2D90"/>
    <w:multiLevelType w:val="hybridMultilevel"/>
    <w:tmpl w:val="D70ECE12"/>
    <w:lvl w:ilvl="0" w:tplc="EE62DC38">
      <w:numFmt w:val="bullet"/>
      <w:lvlText w:val="-"/>
      <w:lvlJc w:val="left"/>
      <w:pPr>
        <w:ind w:left="405" w:hanging="360"/>
      </w:pPr>
      <w:rPr>
        <w:rFonts w:ascii="Times" w:eastAsia="Times" w:hAnsi="Times" w:cs="Times"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6AC00F56"/>
    <w:multiLevelType w:val="hybridMultilevel"/>
    <w:tmpl w:val="FA1CC15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5580681"/>
    <w:multiLevelType w:val="hybridMultilevel"/>
    <w:tmpl w:val="66AC6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B91"/>
    <w:rsid w:val="00006A51"/>
    <w:rsid w:val="000242F4"/>
    <w:rsid w:val="00080363"/>
    <w:rsid w:val="0008309A"/>
    <w:rsid w:val="0009480D"/>
    <w:rsid w:val="000B2F95"/>
    <w:rsid w:val="001A166B"/>
    <w:rsid w:val="00207C38"/>
    <w:rsid w:val="00244D5F"/>
    <w:rsid w:val="00251610"/>
    <w:rsid w:val="002B743A"/>
    <w:rsid w:val="002F58D2"/>
    <w:rsid w:val="002F69CD"/>
    <w:rsid w:val="003351A9"/>
    <w:rsid w:val="00350F56"/>
    <w:rsid w:val="00380FCE"/>
    <w:rsid w:val="003913C3"/>
    <w:rsid w:val="003A1B80"/>
    <w:rsid w:val="003A7E22"/>
    <w:rsid w:val="004203B3"/>
    <w:rsid w:val="004C460D"/>
    <w:rsid w:val="004F77AB"/>
    <w:rsid w:val="00500609"/>
    <w:rsid w:val="00522FD0"/>
    <w:rsid w:val="00542ACA"/>
    <w:rsid w:val="00562D8C"/>
    <w:rsid w:val="0057112D"/>
    <w:rsid w:val="005860EC"/>
    <w:rsid w:val="00592033"/>
    <w:rsid w:val="005C46F7"/>
    <w:rsid w:val="006003E8"/>
    <w:rsid w:val="00607634"/>
    <w:rsid w:val="00666ED2"/>
    <w:rsid w:val="006719AB"/>
    <w:rsid w:val="0067580B"/>
    <w:rsid w:val="00696486"/>
    <w:rsid w:val="006E0677"/>
    <w:rsid w:val="006E1F82"/>
    <w:rsid w:val="006E65FC"/>
    <w:rsid w:val="0070603E"/>
    <w:rsid w:val="00711036"/>
    <w:rsid w:val="00711509"/>
    <w:rsid w:val="00727EF8"/>
    <w:rsid w:val="007465BE"/>
    <w:rsid w:val="00755CA8"/>
    <w:rsid w:val="00756648"/>
    <w:rsid w:val="00766627"/>
    <w:rsid w:val="007A0CA4"/>
    <w:rsid w:val="007B383C"/>
    <w:rsid w:val="007C22DB"/>
    <w:rsid w:val="007C4A2F"/>
    <w:rsid w:val="007D117E"/>
    <w:rsid w:val="008035F6"/>
    <w:rsid w:val="00856B04"/>
    <w:rsid w:val="008B25E5"/>
    <w:rsid w:val="008B638F"/>
    <w:rsid w:val="008E0517"/>
    <w:rsid w:val="00940513"/>
    <w:rsid w:val="0096556E"/>
    <w:rsid w:val="009934A6"/>
    <w:rsid w:val="00997491"/>
    <w:rsid w:val="009A5B7F"/>
    <w:rsid w:val="009F0889"/>
    <w:rsid w:val="00A1343D"/>
    <w:rsid w:val="00A13E48"/>
    <w:rsid w:val="00A1585F"/>
    <w:rsid w:val="00A37F32"/>
    <w:rsid w:val="00A71DBB"/>
    <w:rsid w:val="00A829E1"/>
    <w:rsid w:val="00A96AFD"/>
    <w:rsid w:val="00A97F86"/>
    <w:rsid w:val="00AA1F00"/>
    <w:rsid w:val="00AB56A4"/>
    <w:rsid w:val="00AE425C"/>
    <w:rsid w:val="00B1209E"/>
    <w:rsid w:val="00BD1B58"/>
    <w:rsid w:val="00C301CF"/>
    <w:rsid w:val="00C943BD"/>
    <w:rsid w:val="00CA1EA9"/>
    <w:rsid w:val="00D02D4B"/>
    <w:rsid w:val="00D15FE6"/>
    <w:rsid w:val="00D2004C"/>
    <w:rsid w:val="00D201E3"/>
    <w:rsid w:val="00D36EB5"/>
    <w:rsid w:val="00D51202"/>
    <w:rsid w:val="00D72455"/>
    <w:rsid w:val="00D751E9"/>
    <w:rsid w:val="00DA0D2D"/>
    <w:rsid w:val="00DF24DB"/>
    <w:rsid w:val="00F15229"/>
    <w:rsid w:val="00F34837"/>
    <w:rsid w:val="00F6598F"/>
    <w:rsid w:val="00F67B91"/>
    <w:rsid w:val="00F77BC5"/>
    <w:rsid w:val="00F83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AB6A7"/>
  <w15:docId w15:val="{ECC4EFD2-043F-4F4F-B9DA-76499AD0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els">
    <w:name w:val="labels"/>
    <w:basedOn w:val="Normal"/>
    <w:pPr>
      <w:spacing w:line="280" w:lineRule="exact"/>
    </w:pPr>
    <w:rPr>
      <w:rFonts w:ascii="Arial" w:hAnsi="Arial"/>
      <w:sz w:val="22"/>
    </w:rPr>
  </w:style>
  <w:style w:type="paragraph" w:customStyle="1" w:styleId="Maintext">
    <w:name w:val="Main text"/>
    <w:basedOn w:val="labels"/>
    <w:pPr>
      <w:spacing w:line="240" w:lineRule="exact"/>
    </w:pPr>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etterBody">
    <w:name w:val="Letter Body"/>
    <w:basedOn w:val="Normal"/>
    <w:pPr>
      <w:spacing w:line="240" w:lineRule="exact"/>
    </w:pPr>
    <w:rPr>
      <w:rFonts w:ascii="Arial" w:hAnsi="Arial"/>
      <w:sz w:val="19"/>
    </w:rPr>
  </w:style>
  <w:style w:type="paragraph" w:customStyle="1" w:styleId="StyleLetterBody">
    <w:name w:val="Style Letter Body"/>
    <w:basedOn w:val="LetterBody"/>
  </w:style>
  <w:style w:type="character" w:customStyle="1" w:styleId="StyleLetterBodyChar">
    <w:name w:val="Style Letter Body Char"/>
    <w:basedOn w:val="DefaultParagraphFont"/>
    <w:rPr>
      <w:rFonts w:ascii="Arial" w:eastAsia="Times" w:hAnsi="Arial"/>
      <w:noProof w:val="0"/>
      <w:sz w:val="19"/>
      <w:lang w:val="en-GB" w:eastAsia="en-US" w:bidi="ar-SA"/>
    </w:rPr>
  </w:style>
  <w:style w:type="table" w:styleId="TableGrid">
    <w:name w:val="Table Grid"/>
    <w:basedOn w:val="TableNormal"/>
    <w:rsid w:val="00F67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C22DB"/>
    <w:rPr>
      <w:sz w:val="16"/>
      <w:szCs w:val="16"/>
    </w:rPr>
  </w:style>
  <w:style w:type="paragraph" w:styleId="CommentText">
    <w:name w:val="annotation text"/>
    <w:basedOn w:val="Normal"/>
    <w:link w:val="CommentTextChar"/>
    <w:semiHidden/>
    <w:unhideWhenUsed/>
    <w:rsid w:val="007C22DB"/>
    <w:rPr>
      <w:sz w:val="20"/>
    </w:rPr>
  </w:style>
  <w:style w:type="character" w:customStyle="1" w:styleId="CommentTextChar">
    <w:name w:val="Comment Text Char"/>
    <w:basedOn w:val="DefaultParagraphFont"/>
    <w:link w:val="CommentText"/>
    <w:semiHidden/>
    <w:rsid w:val="007C22DB"/>
    <w:rPr>
      <w:lang w:eastAsia="en-US"/>
    </w:rPr>
  </w:style>
  <w:style w:type="paragraph" w:styleId="CommentSubject">
    <w:name w:val="annotation subject"/>
    <w:basedOn w:val="CommentText"/>
    <w:next w:val="CommentText"/>
    <w:link w:val="CommentSubjectChar"/>
    <w:semiHidden/>
    <w:unhideWhenUsed/>
    <w:rsid w:val="007C22DB"/>
    <w:rPr>
      <w:b/>
      <w:bCs/>
    </w:rPr>
  </w:style>
  <w:style w:type="character" w:customStyle="1" w:styleId="CommentSubjectChar">
    <w:name w:val="Comment Subject Char"/>
    <w:basedOn w:val="CommentTextChar"/>
    <w:link w:val="CommentSubject"/>
    <w:semiHidden/>
    <w:rsid w:val="007C22DB"/>
    <w:rPr>
      <w:b/>
      <w:bCs/>
      <w:lang w:eastAsia="en-US"/>
    </w:rPr>
  </w:style>
  <w:style w:type="paragraph" w:styleId="BalloonText">
    <w:name w:val="Balloon Text"/>
    <w:basedOn w:val="Normal"/>
    <w:link w:val="BalloonTextChar"/>
    <w:semiHidden/>
    <w:unhideWhenUsed/>
    <w:rsid w:val="007C22DB"/>
    <w:rPr>
      <w:rFonts w:ascii="Segoe UI" w:hAnsi="Segoe UI" w:cs="Segoe UI"/>
      <w:sz w:val="18"/>
      <w:szCs w:val="18"/>
    </w:rPr>
  </w:style>
  <w:style w:type="character" w:customStyle="1" w:styleId="BalloonTextChar">
    <w:name w:val="Balloon Text Char"/>
    <w:basedOn w:val="DefaultParagraphFont"/>
    <w:link w:val="BalloonText"/>
    <w:semiHidden/>
    <w:rsid w:val="007C22DB"/>
    <w:rPr>
      <w:rFonts w:ascii="Segoe UI" w:hAnsi="Segoe UI" w:cs="Segoe UI"/>
      <w:sz w:val="18"/>
      <w:szCs w:val="18"/>
      <w:lang w:eastAsia="en-US"/>
    </w:rPr>
  </w:style>
  <w:style w:type="character" w:styleId="Hyperlink">
    <w:name w:val="Hyperlink"/>
    <w:basedOn w:val="DefaultParagraphFont"/>
    <w:unhideWhenUsed/>
    <w:rsid w:val="006719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38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LCooke@gamblingcommission.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JCook@gamblingcommission.gov.u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dcd4d639-de5a-4bad-aded-2c25c5bf9fca" xsi:nil="true"/>
    <k0cb5e08406545c18344e2142bcf0abc xmlns="dcd4d639-de5a-4bad-aded-2c25c5bf9fca">
      <Terms xmlns="http://schemas.microsoft.com/office/infopath/2007/PartnerControls">
        <TermInfo xmlns="http://schemas.microsoft.com/office/infopath/2007/PartnerControls">
          <TermName xmlns="http://schemas.microsoft.com/office/infopath/2007/PartnerControls">Consumers</TermName>
          <TermId xmlns="http://schemas.microsoft.com/office/infopath/2007/PartnerControls">70584d00-9c5e-4b66-9bc2-62dea1879b80</TermId>
        </TermInfo>
      </Terms>
    </k0cb5e08406545c18344e2142bcf0abc>
    <TaxKeywordTaxHTField xmlns="dcd4d639-de5a-4bad-aded-2c25c5bf9fca">
      <Terms xmlns="http://schemas.microsoft.com/office/infopath/2007/PartnerControls"/>
    </TaxKeywordTaxHTField>
    <RoutingRuleDescription xmlns="http://schemas.microsoft.com/sharepoint/v3" xsi:nil="true"/>
    <n300bd280aac47c8b25aa7458bf0f8c4 xmlns="dcd4d639-de5a-4bad-aded-2c25c5bf9fca">
      <Terms xmlns="http://schemas.microsoft.com/office/infopath/2007/PartnerControls"/>
    </n300bd280aac47c8b25aa7458bf0f8c4>
    <TaxCatchAll xmlns="dcd4d639-de5a-4bad-aded-2c25c5bf9fca">
      <Value>831</Value>
    </TaxCatchAll>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 ma:contentTypeID="0x010100943D46E95D4A1B4FBA60C8AEF611E2190206090074F5DADB8DA9854CB780673841F2FC69" ma:contentTypeVersion="9" ma:contentTypeDescription="" ma:contentTypeScope="" ma:versionID="8dc75e448526bbbefcf6f24f49a4e450">
  <xsd:schema xmlns:xsd="http://www.w3.org/2001/XMLSchema" xmlns:xs="http://www.w3.org/2001/XMLSchema" xmlns:p="http://schemas.microsoft.com/office/2006/metadata/properties" xmlns:ns1="http://schemas.microsoft.com/sharepoint/v3" xmlns:ns2="dcd4d639-de5a-4bad-aded-2c25c5bf9fca" targetNamespace="http://schemas.microsoft.com/office/2006/metadata/properties" ma:root="true" ma:fieldsID="80c0df628c04bd8c03b2ba55de999909" ns1:_="" ns2:_="">
    <xsd:import namespace="http://schemas.microsoft.com/sharepoint/v3"/>
    <xsd:import namespace="dcd4d639-de5a-4bad-aded-2c25c5bf9fca"/>
    <xsd:element name="properties">
      <xsd:complexType>
        <xsd:sequence>
          <xsd:element name="documentManagement">
            <xsd:complexType>
              <xsd:all>
                <xsd:element ref="ns1:RoutingRuleDescription" minOccurs="0"/>
                <xsd:element ref="ns2:Security_x0020_Classification" minOccurs="0"/>
                <xsd:element ref="ns1:_dlc_ExpireDateSaved" minOccurs="0"/>
                <xsd:element ref="ns1:_dlc_ExpireDate" minOccurs="0"/>
                <xsd:element ref="ns2:TaxKeywordTaxHTField" minOccurs="0"/>
                <xsd:element ref="ns2:TaxCatchAll" minOccurs="0"/>
                <xsd:element ref="ns2:k0cb5e08406545c18344e2142bcf0abc" minOccurs="0"/>
                <xsd:element ref="ns2:TaxCatchAllLabel" minOccurs="0"/>
                <xsd:element ref="ns2:n300bd280aac47c8b25aa7458bf0f8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d4d639-de5a-4bad-aded-2c25c5bf9fca" elementFormDefault="qualified">
    <xsd:import namespace="http://schemas.microsoft.com/office/2006/documentManagement/types"/>
    <xsd:import namespace="http://schemas.microsoft.com/office/infopath/2007/PartnerControls"/>
    <xsd:element name="Security_x0020_Classification" ma:index="6" nillable="true" ma:displayName="Security Classification" ma:default="Official" ma:format="Dropdown" ma:internalName="Security_x0020_Classification">
      <xsd:simpleType>
        <xsd:restriction base="dms:Choice">
          <xsd:enumeration value="Official"/>
          <xsd:enumeration value="Official Sensitive"/>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97c85119-18d9-41e7-8c9c-94d8ffdc55dc"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8c433a5c-3124-47a8-9645-d8cdf6433fde}" ma:internalName="TaxCatchAll" ma:showField="CatchAllData"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k0cb5e08406545c18344e2142bcf0abc" ma:index="15" nillable="true" ma:taxonomy="true" ma:internalName="k0cb5e08406545c18344e2142bcf0abc" ma:taxonomyFieldName="Function" ma:displayName="Function" ma:default="" ma:fieldId="{40cb5e08-4065-45c1-8344-e2142bcf0abc}" ma:sspId="97c85119-18d9-41e7-8c9c-94d8ffdc55dc" ma:termSetId="f0a58393-1f39-42fc-80de-4d5f4ff8b047" ma:anchorId="00000000-0000-0000-0000-000000000000" ma:open="true" ma:isKeyword="false">
      <xsd:complexType>
        <xsd:sequence>
          <xsd:element ref="pc:Terms" minOccurs="0" maxOccurs="1"/>
        </xsd:sequence>
      </xsd:complexType>
    </xsd:element>
    <xsd:element name="TaxCatchAllLabel" ma:index="16" nillable="true" ma:displayName="Taxonomy Catch All Column1" ma:hidden="true" ma:list="{8c433a5c-3124-47a8-9645-d8cdf6433fde}" ma:internalName="TaxCatchAllLabel" ma:readOnly="true" ma:showField="CatchAllDataLabel"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n300bd280aac47c8b25aa7458bf0f8c4" ma:index="17" nillable="true" ma:taxonomy="true" ma:internalName="n300bd280aac47c8b25aa7458bf0f8c4" ma:taxonomyFieldName="Related_x0020_Functions" ma:displayName="Related Functions" ma:default="" ma:fieldId="{7300bd28-0aac-47c8-b25a-a7458bf0f8c4}" ma:taxonomyMulti="true" ma:sspId="97c85119-18d9-41e7-8c9c-94d8ffdc55dc" ma:termSetId="f0a58393-1f39-42fc-80de-4d5f4ff8b04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7c85119-18d9-41e7-8c9c-94d8ffdc55dc" ContentTypeId="0x010100943D46E95D4A1B4FBA60C8AEF611E219020609" PreviousValue="false"/>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1776D7CA-4589-4C5F-AF11-1BA34D75081E}">
  <ds:schemaRefs>
    <ds:schemaRef ds:uri="http://schemas.microsoft.com/office/2006/metadata/properties"/>
    <ds:schemaRef ds:uri="http://www.w3.org/2000/xmlns/"/>
    <ds:schemaRef ds:uri="dcd4d639-de5a-4bad-aded-2c25c5bf9fca"/>
    <ds:schemaRef ds:uri="http://www.w3.org/2001/XMLSchema-instance"/>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11199A4-4C5A-445A-8BF8-B3DF6A63F45B}">
  <ds:schemaRefs>
    <ds:schemaRef ds:uri="http://schemas.microsoft.com/office/2006/metadata/customXsn"/>
  </ds:schemaRefs>
</ds:datastoreItem>
</file>

<file path=customXml/itemProps3.xml><?xml version="1.0" encoding="utf-8"?>
<ds:datastoreItem xmlns:ds="http://schemas.openxmlformats.org/officeDocument/2006/customXml" ds:itemID="{82B11FE1-101D-4ADC-8E08-214ACA682B2F}">
  <ds:schemaRefs>
    <ds:schemaRef ds:uri="http://schemas.microsoft.com/sharepoint/v3/contenttype/forms"/>
  </ds:schemaRefs>
</ds:datastoreItem>
</file>

<file path=customXml/itemProps4.xml><?xml version="1.0" encoding="utf-8"?>
<ds:datastoreItem xmlns:ds="http://schemas.openxmlformats.org/officeDocument/2006/customXml" ds:itemID="{BD5C2708-5595-4E6A-ACBC-F912D9B8F934}">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dcd4d639-de5a-4bad-aded-2c25c5bf9fca"/>
  </ds:schemaRefs>
</ds:datastoreItem>
</file>

<file path=customXml/itemProps5.xml><?xml version="1.0" encoding="utf-8"?>
<ds:datastoreItem xmlns:ds="http://schemas.openxmlformats.org/officeDocument/2006/customXml" ds:itemID="{9D54E7F6-2A7E-4E8B-BFC3-DB1E06C8B17B}">
  <ds:schemaRefs>
    <ds:schemaRef ds:uri="Microsoft.SharePoint.Taxonomy.ContentTypeSync"/>
  </ds:schemaRefs>
</ds:datastoreItem>
</file>

<file path=customXml/itemProps6.xml><?xml version="1.0" encoding="utf-8"?>
<ds:datastoreItem xmlns:ds="http://schemas.openxmlformats.org/officeDocument/2006/customXml" ds:itemID="{365EE5D1-BD42-4E9A-9A5E-C48D3A5E6935}">
  <ds:schemaRefs>
    <ds:schemaRef ds:uri="http://schemas.microsoft.com/sharepoint/event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To:  Insert date</vt:lpstr>
    </vt:vector>
  </TitlesOfParts>
  <Company>Orb Solutions</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Insert date</dc:title>
  <dc:subject/>
  <dc:creator>LCooke</dc:creator>
  <cp:keywords/>
  <cp:lastModifiedBy>Causton, DDJ Peter</cp:lastModifiedBy>
  <cp:revision>2</cp:revision>
  <cp:lastPrinted>2016-09-07T09:20:00Z</cp:lastPrinted>
  <dcterms:created xsi:type="dcterms:W3CDTF">2019-08-01T17:05:00Z</dcterms:created>
  <dcterms:modified xsi:type="dcterms:W3CDTF">2019-08-01T17:05:00Z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0x010100943D46E95D4A1B4FBA60C8AEF611E2190206090074F5DADB8DA9854CB780673841F2FC69</vt:lpwstr>
  </property>
  <property fmtid="{D5CDD505-2E9C-101B-9397-08002B2CF9AE}" pid="3" name="_dlc_policyId">
    <vt:lpwstr/>
  </property>
  <property fmtid="{D5CDD505-2E9C-101B-9397-08002B2CF9AE}" pid="4" name="ItemRetentionFormula">
    <vt:lpwstr/>
  </property>
  <property fmtid="{D5CDD505-2E9C-101B-9397-08002B2CF9AE}" pid="5" name="TaxKeyword">
    <vt:lpwstr/>
  </property>
  <property fmtid="{D5CDD505-2E9C-101B-9397-08002B2CF9AE}" pid="6" name="Related Functions">
    <vt:lpwstr/>
  </property>
  <property fmtid="{D5CDD505-2E9C-101B-9397-08002B2CF9AE}" pid="7" name="j67390757fa349cbaf93204f5bf3176a">
    <vt:lpwstr/>
  </property>
  <property fmtid="{D5CDD505-2E9C-101B-9397-08002B2CF9AE}" pid="8" name="Stakeholder">
    <vt:lpwstr/>
  </property>
  <property fmtid="{D5CDD505-2E9C-101B-9397-08002B2CF9AE}" pid="9" name="Function">
    <vt:lpwstr>831;#Consumers|70584d00-9c5e-4b66-9bc2-62dea1879b80</vt:lpwstr>
  </property>
  <property fmtid="{D5CDD505-2E9C-101B-9397-08002B2CF9AE}" pid="10" name="ca506676becf4cdbb613025592e6b965">
    <vt:lpwstr/>
  </property>
  <property fmtid="{D5CDD505-2E9C-101B-9397-08002B2CF9AE}" pid="11" name="Operator">
    <vt:lpwstr/>
  </property>
  <property fmtid="{D5CDD505-2E9C-101B-9397-08002B2CF9AE}" pid="12" name="LTT Topic">
    <vt:lpwstr/>
  </property>
  <property fmtid="{D5CDD505-2E9C-101B-9397-08002B2CF9AE}" pid="13" name="l5cd9abbff024cf7bf00a775ad9fdd22">
    <vt:lpwstr/>
  </property>
  <property fmtid="{D5CDD505-2E9C-101B-9397-08002B2CF9AE}" pid="14" name="Project Document Type">
    <vt:lpwstr/>
  </property>
  <property fmtid="{D5CDD505-2E9C-101B-9397-08002B2CF9AE}" pid="15" name="Licensing Subject">
    <vt:lpwstr/>
  </property>
  <property fmtid="{D5CDD505-2E9C-101B-9397-08002B2CF9AE}" pid="16" name="Meeting Group">
    <vt:lpwstr/>
  </property>
  <property fmtid="{D5CDD505-2E9C-101B-9397-08002B2CF9AE}" pid="17" name="Finance Document">
    <vt:lpwstr/>
  </property>
  <property fmtid="{D5CDD505-2E9C-101B-9397-08002B2CF9AE}" pid="18" name="Regulator">
    <vt:lpwstr/>
  </property>
  <property fmtid="{D5CDD505-2E9C-101B-9397-08002B2CF9AE}" pid="19" name="Publication Type">
    <vt:lpwstr/>
  </property>
  <property fmtid="{D5CDD505-2E9C-101B-9397-08002B2CF9AE}" pid="20" name="Policy Type">
    <vt:lpwstr/>
  </property>
  <property fmtid="{D5CDD505-2E9C-101B-9397-08002B2CF9AE}" pid="21" name="Meeting Month">
    <vt:lpwstr/>
  </property>
  <property fmtid="{D5CDD505-2E9C-101B-9397-08002B2CF9AE}" pid="22" name="Public Release">
    <vt:lpwstr/>
  </property>
  <property fmtid="{D5CDD505-2E9C-101B-9397-08002B2CF9AE}" pid="23" name="Meeting Year">
    <vt:lpwstr/>
  </property>
  <property fmtid="{D5CDD505-2E9C-101B-9397-08002B2CF9AE}" pid="24" name="Meeting Document">
    <vt:lpwstr/>
  </property>
  <property fmtid="{D5CDD505-2E9C-101B-9397-08002B2CF9AE}" pid="25" name="Report Type">
    <vt:lpwstr/>
  </property>
  <property fmtid="{D5CDD505-2E9C-101B-9397-08002B2CF9AE}" pid="26" name="Operator ID">
    <vt:lpwstr/>
  </property>
  <property fmtid="{D5CDD505-2E9C-101B-9397-08002B2CF9AE}" pid="27" name="Contract Type">
    <vt:lpwstr/>
  </property>
  <property fmtid="{D5CDD505-2E9C-101B-9397-08002B2CF9AE}" pid="28" name="Incident Ref Number">
    <vt:lpwstr/>
  </property>
</Properties>
</file>